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56A8CE" w14:textId="77777777" w:rsidR="00806313" w:rsidRPr="00621435" w:rsidRDefault="00806313">
      <w:pPr>
        <w:spacing w:before="120"/>
        <w:jc w:val="both"/>
        <w:rPr>
          <w:rFonts w:ascii="Arial" w:eastAsia="Calibri" w:hAnsi="Arial" w:cs="Arial"/>
          <w:b/>
          <w:strike/>
          <w:sz w:val="20"/>
          <w:szCs w:val="20"/>
          <w:lang w:val="es-ES" w:eastAsia="en-US"/>
        </w:rPr>
      </w:pPr>
    </w:p>
    <w:p w14:paraId="5C9693F1" w14:textId="77777777" w:rsidR="00831FDD" w:rsidRPr="008F567E" w:rsidRDefault="00831FDD" w:rsidP="001372BA">
      <w:pPr>
        <w:jc w:val="both"/>
        <w:rPr>
          <w:rFonts w:ascii="Arial" w:hAnsi="Arial" w:cs="Arial"/>
        </w:rPr>
      </w:pPr>
    </w:p>
    <w:tbl>
      <w:tblPr>
        <w:tblpPr w:leftFromText="142" w:rightFromText="142" w:vertAnchor="page" w:horzAnchor="margin" w:tblpX="108" w:tblpY="2362"/>
        <w:tblW w:w="4874" w:type="pct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0A0" w:firstRow="1" w:lastRow="0" w:firstColumn="1" w:lastColumn="0" w:noHBand="0" w:noVBand="0"/>
      </w:tblPr>
      <w:tblGrid>
        <w:gridCol w:w="9386"/>
      </w:tblGrid>
      <w:tr w:rsidR="0085099F" w:rsidRPr="008F567E" w14:paraId="25461DEE" w14:textId="77777777" w:rsidTr="0085099F">
        <w:trPr>
          <w:trHeight w:val="699"/>
        </w:trPr>
        <w:tc>
          <w:tcPr>
            <w:tcW w:w="5000" w:type="pct"/>
            <w:vAlign w:val="center"/>
          </w:tcPr>
          <w:p w14:paraId="4C4F9CFB" w14:textId="04B8D208" w:rsidR="0085099F" w:rsidRPr="00883871" w:rsidRDefault="00883871" w:rsidP="0085099F">
            <w:pPr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F266E">
              <w:rPr>
                <w:rFonts w:ascii="Arial" w:hAnsi="Arial" w:cs="Arial"/>
                <w:b/>
                <w:bCs/>
                <w:sz w:val="28"/>
                <w:szCs w:val="28"/>
              </w:rPr>
              <w:t>CCOO advierte que el bloqueo del convenio y el cortoplacismo de arreglar las cuentas de Correos mediante el ajuste de plantilla y los recortes, renunciando al crecimiento de actividad e ingresos, pueden derivar en escenarios de tensión y movilización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no deseados</w:t>
            </w:r>
          </w:p>
        </w:tc>
      </w:tr>
      <w:tr w:rsidR="0085099F" w:rsidRPr="008F567E" w14:paraId="79ED03EB" w14:textId="77777777" w:rsidTr="0085099F">
        <w:trPr>
          <w:trHeight w:val="416"/>
        </w:trPr>
        <w:tc>
          <w:tcPr>
            <w:tcW w:w="5000" w:type="pct"/>
            <w:shd w:val="solid" w:color="D9D9D9" w:fill="auto"/>
            <w:vAlign w:val="center"/>
          </w:tcPr>
          <w:p w14:paraId="0DF6F7A6" w14:textId="77777777" w:rsidR="0085099F" w:rsidRPr="008F567E" w:rsidRDefault="0085099F" w:rsidP="00883871">
            <w:pPr>
              <w:ind w:right="113"/>
              <w:jc w:val="both"/>
              <w:rPr>
                <w:rFonts w:ascii="Helvetica" w:hAnsi="Helvetica" w:cs="Helvetica"/>
                <w:b/>
                <w:sz w:val="18"/>
              </w:rPr>
            </w:pPr>
          </w:p>
          <w:p w14:paraId="77B51B80" w14:textId="2966C55B" w:rsidR="0085099F" w:rsidRPr="00301346" w:rsidRDefault="00883871" w:rsidP="00883871">
            <w:pPr>
              <w:jc w:val="both"/>
              <w:rPr>
                <w:rFonts w:ascii="Arial" w:hAnsi="Arial" w:cs="Arial"/>
                <w:b/>
                <w:bCs/>
              </w:rPr>
            </w:pPr>
            <w:r w:rsidRPr="00301346">
              <w:rPr>
                <w:rFonts w:ascii="Arial" w:hAnsi="Arial" w:cs="Arial"/>
                <w:b/>
                <w:bCs/>
              </w:rPr>
              <w:t xml:space="preserve">En la provincia de </w:t>
            </w:r>
            <w:r w:rsidR="001E17DB">
              <w:rPr>
                <w:rFonts w:ascii="Arial" w:hAnsi="Arial" w:cs="Arial"/>
                <w:b/>
                <w:bCs/>
              </w:rPr>
              <w:t>Asturias</w:t>
            </w:r>
            <w:r w:rsidRPr="00301346">
              <w:rPr>
                <w:rFonts w:ascii="Arial" w:hAnsi="Arial" w:cs="Arial"/>
                <w:b/>
                <w:bCs/>
                <w:color w:val="FF0000"/>
              </w:rPr>
              <w:t xml:space="preserve"> </w:t>
            </w:r>
            <w:r w:rsidRPr="00301346">
              <w:rPr>
                <w:rFonts w:ascii="Arial" w:hAnsi="Arial" w:cs="Arial"/>
                <w:b/>
                <w:bCs/>
              </w:rPr>
              <w:t>los recortes</w:t>
            </w:r>
            <w:r w:rsidR="001E17DB">
              <w:rPr>
                <w:rFonts w:ascii="Arial" w:hAnsi="Arial" w:cs="Arial"/>
                <w:b/>
                <w:bCs/>
              </w:rPr>
              <w:t xml:space="preserve"> de </w:t>
            </w:r>
            <w:proofErr w:type="gramStart"/>
            <w:r w:rsidR="001E17DB">
              <w:rPr>
                <w:rFonts w:ascii="Arial" w:hAnsi="Arial" w:cs="Arial"/>
                <w:b/>
                <w:bCs/>
              </w:rPr>
              <w:t xml:space="preserve">plantilla </w:t>
            </w:r>
            <w:r w:rsidRPr="00301346">
              <w:rPr>
                <w:rFonts w:ascii="Arial" w:hAnsi="Arial" w:cs="Arial"/>
                <w:b/>
                <w:bCs/>
              </w:rPr>
              <w:t xml:space="preserve"> </w:t>
            </w:r>
            <w:r w:rsidR="001E17DB">
              <w:rPr>
                <w:rFonts w:ascii="Arial" w:hAnsi="Arial" w:cs="Arial"/>
                <w:b/>
                <w:bCs/>
              </w:rPr>
              <w:t>tanto</w:t>
            </w:r>
            <w:proofErr w:type="gramEnd"/>
            <w:r w:rsidR="001E17DB">
              <w:rPr>
                <w:rFonts w:ascii="Arial" w:hAnsi="Arial" w:cs="Arial"/>
                <w:b/>
                <w:bCs/>
              </w:rPr>
              <w:t xml:space="preserve"> en el servicio de reparto (cartero/as) como en los pabellones postales  (agentes de clasificación) y Oficinas (atención al Cliente)</w:t>
            </w:r>
            <w:r w:rsidRPr="00301346">
              <w:rPr>
                <w:rFonts w:ascii="Arial" w:hAnsi="Arial" w:cs="Arial"/>
                <w:b/>
                <w:bCs/>
              </w:rPr>
              <w:t>, los más altos de los últimos años, están perjudicando severamente a los ciudadanos y a los trabajadores/as</w:t>
            </w:r>
          </w:p>
        </w:tc>
      </w:tr>
      <w:tr w:rsidR="0085099F" w:rsidRPr="008F567E" w14:paraId="165BB7F2" w14:textId="77777777" w:rsidTr="0085099F">
        <w:trPr>
          <w:trHeight w:val="182"/>
        </w:trPr>
        <w:tc>
          <w:tcPr>
            <w:tcW w:w="5000" w:type="pct"/>
            <w:vAlign w:val="center"/>
          </w:tcPr>
          <w:p w14:paraId="14BC497B" w14:textId="39396AA4" w:rsidR="0085099F" w:rsidRPr="00431C0E" w:rsidRDefault="001E17DB" w:rsidP="002E4F37">
            <w:pPr>
              <w:tabs>
                <w:tab w:val="left" w:pos="9252"/>
                <w:tab w:val="left" w:pos="9356"/>
                <w:tab w:val="left" w:pos="9391"/>
              </w:tabs>
              <w:ind w:left="72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</w:t>
            </w:r>
            <w:r w:rsidR="002E4F37">
              <w:rPr>
                <w:rFonts w:ascii="Arial" w:hAnsi="Arial" w:cs="Arial"/>
              </w:rPr>
              <w:t xml:space="preserve"> </w:t>
            </w:r>
            <w:r w:rsidR="0085099F" w:rsidRPr="00431C0E">
              <w:rPr>
                <w:rFonts w:ascii="Arial" w:hAnsi="Arial" w:cs="Arial"/>
              </w:rPr>
              <w:t xml:space="preserve">de </w:t>
            </w:r>
            <w:r w:rsidR="00883871">
              <w:rPr>
                <w:rFonts w:ascii="Arial" w:hAnsi="Arial" w:cs="Arial"/>
              </w:rPr>
              <w:t>noviembre</w:t>
            </w:r>
            <w:r w:rsidR="0085099F" w:rsidRPr="00431C0E">
              <w:rPr>
                <w:rFonts w:ascii="Arial" w:hAnsi="Arial" w:cs="Arial"/>
              </w:rPr>
              <w:t xml:space="preserve"> de 202</w:t>
            </w:r>
            <w:r w:rsidR="00883871">
              <w:rPr>
                <w:rFonts w:ascii="Arial" w:hAnsi="Arial" w:cs="Arial"/>
              </w:rPr>
              <w:t>4</w:t>
            </w:r>
          </w:p>
        </w:tc>
      </w:tr>
    </w:tbl>
    <w:p w14:paraId="57AC8499" w14:textId="77777777" w:rsidR="00973F75" w:rsidRPr="008F567E" w:rsidRDefault="00973F75" w:rsidP="001372BA">
      <w:pPr>
        <w:jc w:val="both"/>
        <w:rPr>
          <w:rFonts w:ascii="Arial" w:hAnsi="Arial" w:cs="Arial"/>
        </w:rPr>
      </w:pPr>
    </w:p>
    <w:p w14:paraId="6A53D68F" w14:textId="77777777" w:rsidR="00883871" w:rsidRPr="009D7027" w:rsidRDefault="00883871" w:rsidP="00883871">
      <w:pPr>
        <w:jc w:val="both"/>
        <w:rPr>
          <w:rFonts w:ascii="Arial" w:hAnsi="Arial" w:cs="Arial"/>
        </w:rPr>
      </w:pPr>
      <w:r w:rsidRPr="009D7027">
        <w:rPr>
          <w:rFonts w:ascii="Arial" w:hAnsi="Arial" w:cs="Arial"/>
        </w:rPr>
        <w:t xml:space="preserve">El sindicato considera que, tras un prometedor inicio en el desarrollo del </w:t>
      </w:r>
      <w:r w:rsidRPr="009D7027">
        <w:rPr>
          <w:rFonts w:ascii="Arial" w:hAnsi="Arial" w:cs="Arial"/>
          <w:i/>
          <w:iCs/>
        </w:rPr>
        <w:t>Acuerdo Estratégico 2024-2028</w:t>
      </w:r>
      <w:r w:rsidRPr="009D7027">
        <w:rPr>
          <w:rFonts w:ascii="Arial" w:hAnsi="Arial" w:cs="Arial"/>
        </w:rPr>
        <w:t xml:space="preserve"> firmado el pasado 22 de julio entre el Gobierno, SEPI, Correos, CCOO y UGT, que contemplaba una financiación del servicio postal público y de los Servicios de Interés Económico General (SIEG) por 400 millones de euros (250 millones y 150 millones</w:t>
      </w:r>
      <w:r>
        <w:rPr>
          <w:rFonts w:ascii="Arial" w:hAnsi="Arial" w:cs="Arial"/>
        </w:rPr>
        <w:t>, respectivamente</w:t>
      </w:r>
      <w:r w:rsidRPr="009D7027">
        <w:rPr>
          <w:rFonts w:ascii="Arial" w:hAnsi="Arial" w:cs="Arial"/>
        </w:rPr>
        <w:t xml:space="preserve">) a incluir en los Presupuestos Generales del Estado (PGE) de 2025, y una verdadera reorientación estratégica del Correo Público </w:t>
      </w:r>
      <w:r>
        <w:rPr>
          <w:rFonts w:ascii="Arial" w:hAnsi="Arial" w:cs="Arial"/>
        </w:rPr>
        <w:t>de nuestro país</w:t>
      </w:r>
      <w:r w:rsidRPr="009D7027">
        <w:rPr>
          <w:rFonts w:ascii="Arial" w:hAnsi="Arial" w:cs="Arial"/>
        </w:rPr>
        <w:t>, SEPI y Correos parecen haber adoptado un enfoque peligroso y cortoplacista. Presionados por las desfavorables cifras económicas, estarían optando por medidas de recorte de plantilla y ajustes financieros que, lejos de acompañarse de estrategias de crecimiento y aumento de la actividad, buscan cubrir el déficit heredado de la gestión</w:t>
      </w:r>
      <w:r>
        <w:rPr>
          <w:rFonts w:ascii="Arial" w:hAnsi="Arial" w:cs="Arial"/>
        </w:rPr>
        <w:t xml:space="preserve"> </w:t>
      </w:r>
      <w:r w:rsidRPr="009D7027">
        <w:rPr>
          <w:rFonts w:ascii="Arial" w:hAnsi="Arial" w:cs="Arial"/>
        </w:rPr>
        <w:t>del anterior presidente de Correos, Juan Manuel Serrano.</w:t>
      </w:r>
    </w:p>
    <w:p w14:paraId="2D5B0C4F" w14:textId="5277D194" w:rsidR="00883871" w:rsidRDefault="00883871" w:rsidP="00883871">
      <w:pPr>
        <w:jc w:val="both"/>
        <w:rPr>
          <w:rFonts w:ascii="Arial" w:hAnsi="Arial" w:cs="Arial"/>
        </w:rPr>
      </w:pPr>
      <w:r w:rsidRPr="00BE667F">
        <w:rPr>
          <w:rFonts w:ascii="Arial" w:hAnsi="Arial" w:cs="Arial"/>
        </w:rPr>
        <w:t xml:space="preserve">CCOO considera que el déficit generado por la gestión ineficaz del expresidente de Correos durante cinco años exige un desarrollo equilibrado y coherente del </w:t>
      </w:r>
      <w:r w:rsidRPr="00BE667F">
        <w:rPr>
          <w:rFonts w:ascii="Arial" w:hAnsi="Arial" w:cs="Arial"/>
          <w:i/>
          <w:iCs/>
        </w:rPr>
        <w:t>Acuerdo Estratégico 2024-2028</w:t>
      </w:r>
      <w:r w:rsidRPr="00BE667F">
        <w:rPr>
          <w:rFonts w:ascii="Arial" w:hAnsi="Arial" w:cs="Arial"/>
        </w:rPr>
        <w:t xml:space="preserve">, basado en tres pilares fundamentales. </w:t>
      </w:r>
      <w:r w:rsidR="00FC4E44">
        <w:rPr>
          <w:rFonts w:ascii="Arial" w:hAnsi="Arial" w:cs="Arial"/>
        </w:rPr>
        <w:t>E</w:t>
      </w:r>
      <w:r w:rsidRPr="00BE667F">
        <w:rPr>
          <w:rFonts w:ascii="Arial" w:hAnsi="Arial" w:cs="Arial"/>
        </w:rPr>
        <w:t>l refuerzo del servicio postal universal y los Servicios de Interés Económico General (SIEG)</w:t>
      </w:r>
      <w:r>
        <w:rPr>
          <w:rFonts w:ascii="Arial" w:hAnsi="Arial" w:cs="Arial"/>
        </w:rPr>
        <w:t xml:space="preserve"> antedicho; </w:t>
      </w:r>
      <w:r w:rsidRPr="00BE667F">
        <w:rPr>
          <w:rFonts w:ascii="Arial" w:hAnsi="Arial" w:cs="Arial"/>
        </w:rPr>
        <w:t>la implementación de un Plan Estratégico que reposicione a Correos en los mercados nacional e internacional, impulsando el crecimiento de la actividad y los ingresos</w:t>
      </w:r>
      <w:r>
        <w:rPr>
          <w:rFonts w:ascii="Arial" w:hAnsi="Arial" w:cs="Arial"/>
        </w:rPr>
        <w:t>; p</w:t>
      </w:r>
      <w:r w:rsidRPr="00BE667F">
        <w:rPr>
          <w:rFonts w:ascii="Arial" w:hAnsi="Arial" w:cs="Arial"/>
        </w:rPr>
        <w:t>or último, un nuevo Convenio Colectivo que sustituya al actual, prácticamente obsoleto tras las sentencias judiciales y los cambios legislativos de los últimos 13 años</w:t>
      </w:r>
      <w:r w:rsidR="00396C09">
        <w:rPr>
          <w:rFonts w:ascii="Arial" w:hAnsi="Arial" w:cs="Arial"/>
        </w:rPr>
        <w:t>,</w:t>
      </w:r>
      <w:r w:rsidRPr="00BE667F">
        <w:rPr>
          <w:rFonts w:ascii="Arial" w:hAnsi="Arial" w:cs="Arial"/>
        </w:rPr>
        <w:t xml:space="preserve"> desde su aprobación en 2011. Para CCOO, un desarrollo armónico de estos elementos es clave para revertir la crisis actual y consolidar el papel de Correos como operador público estratégico para el país.</w:t>
      </w:r>
    </w:p>
    <w:p w14:paraId="18F3FCCE" w14:textId="593440B5" w:rsidR="00883871" w:rsidRDefault="00883871" w:rsidP="00883871">
      <w:pPr>
        <w:jc w:val="both"/>
        <w:rPr>
          <w:rFonts w:ascii="Arial" w:hAnsi="Arial" w:cs="Arial"/>
        </w:rPr>
      </w:pPr>
      <w:r w:rsidRPr="00BE667F">
        <w:rPr>
          <w:rFonts w:ascii="Arial" w:hAnsi="Arial" w:cs="Arial"/>
        </w:rPr>
        <w:t>El sindicato considera que el Plan Estratégico aprobado por SEPI el pasado 31 de julio, cuyo contenido solo fue parcialmente conocido en octubre, carece de la ambición necesaria y resulta insuficiente para revertir la posición de debilidad que Correos ha acumulado en el mercado como resultado de las políticas erráticas del anterior presidente. Estas políticas han situado a la empresa en el furgón de cola de los operadores postales europeos en diversificación, con una cuota del 17% en paquetería y del 16% en servicios financieros, muy por debajo del promedio europeo, que alcanza el 50% y el 34%, respectivamente. Para superar esta situación, Correos necesita un crecimiento inorgánico, tanto dentro como fuera del país, y un verdadero Banco Postal que trascienda la tímida apuesta actual de la compañía</w:t>
      </w:r>
      <w:r w:rsidR="00CD084F">
        <w:rPr>
          <w:rFonts w:ascii="Arial" w:hAnsi="Arial" w:cs="Arial"/>
        </w:rPr>
        <w:t>,</w:t>
      </w:r>
      <w:r w:rsidRPr="00BE667F">
        <w:rPr>
          <w:rFonts w:ascii="Arial" w:hAnsi="Arial" w:cs="Arial"/>
        </w:rPr>
        <w:t xml:space="preserve"> centrada únicamente en la gestión de dinero virtual</w:t>
      </w:r>
      <w:r w:rsidR="00396C09">
        <w:rPr>
          <w:rFonts w:ascii="Arial" w:hAnsi="Arial" w:cs="Arial"/>
        </w:rPr>
        <w:t>.</w:t>
      </w:r>
    </w:p>
    <w:p w14:paraId="633636F6" w14:textId="519AB7A9" w:rsidR="00883871" w:rsidRDefault="00883871" w:rsidP="0088387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En lo relativo al Convenio Colectivo y el Plan de Personas, SEPI y Correos parecen sufrir un ataque de ansiedad cortoplacista que el sindicato ni comparte, ni acompaña: bloqueo y desinterés por un nuevo Convenio Colectivo, deslizamiento de propuestas de desregulación inaceptables (salario a la carta, recorte salvaje de plantilla, sin descartar un ERE y sin Oferta </w:t>
      </w:r>
      <w:r>
        <w:rPr>
          <w:rFonts w:ascii="Arial" w:hAnsi="Arial" w:cs="Arial"/>
        </w:rPr>
        <w:lastRenderedPageBreak/>
        <w:t>de empleo, paralizada hace más de un año y medio, flexibilidad de las relaciones laborales asimilables a los operadores privados más desregulados del mercado, et</w:t>
      </w:r>
      <w:r w:rsidR="009E64E0">
        <w:rPr>
          <w:rFonts w:ascii="Arial" w:hAnsi="Arial" w:cs="Arial"/>
        </w:rPr>
        <w:t>c.</w:t>
      </w:r>
      <w:r>
        <w:rPr>
          <w:rFonts w:ascii="Arial" w:hAnsi="Arial" w:cs="Arial"/>
        </w:rPr>
        <w:t xml:space="preserve">). </w:t>
      </w:r>
    </w:p>
    <w:p w14:paraId="055B6C3F" w14:textId="1F5466F5" w:rsidR="009934B5" w:rsidRDefault="00883871" w:rsidP="0088387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Mientras tanto, lo que s</w:t>
      </w:r>
      <w:r w:rsidR="009E64E0">
        <w:rPr>
          <w:rFonts w:ascii="Arial" w:hAnsi="Arial" w:cs="Arial"/>
        </w:rPr>
        <w:t>í</w:t>
      </w:r>
      <w:r>
        <w:rPr>
          <w:rFonts w:ascii="Arial" w:hAnsi="Arial" w:cs="Arial"/>
        </w:rPr>
        <w:t xml:space="preserve"> parecen tener claro los directivos de la compañía es el recorte sin precedentes de la contratación y del volumen global de empleo</w:t>
      </w:r>
      <w:r w:rsidR="007C500E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con el único fin de reequilibrar las nefastas </w:t>
      </w:r>
      <w:r w:rsidR="007C500E">
        <w:rPr>
          <w:rFonts w:ascii="Arial" w:hAnsi="Arial" w:cs="Arial"/>
        </w:rPr>
        <w:t xml:space="preserve">cifras </w:t>
      </w:r>
      <w:r>
        <w:rPr>
          <w:rFonts w:ascii="Arial" w:hAnsi="Arial" w:cs="Arial"/>
        </w:rPr>
        <w:t>que dejó el presidente anterior y el EBITDA, a pesar del daño que se le está generando al prestigio del servicio público.</w:t>
      </w:r>
    </w:p>
    <w:p w14:paraId="15E17FB8" w14:textId="290773B3" w:rsidR="00883871" w:rsidRDefault="009934B5" w:rsidP="0088387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Reiteramos que e</w:t>
      </w:r>
      <w:r w:rsidR="00883871" w:rsidRPr="00BE667F">
        <w:rPr>
          <w:rFonts w:ascii="Arial" w:hAnsi="Arial" w:cs="Arial"/>
        </w:rPr>
        <w:t xml:space="preserve">n lo referente al Convenio Colectivo y al Plan de Personas, SEPI y Correos parecen haber caído en una peligrosa lógica de ansiedad cortoplacista, una estrategia que el sindicato ni comparte ni acompaña. Esta actitud se traduce en el bloqueo y desinterés por la negociación de un nuevo Convenio Colectivo, así como en la presentación de propuestas de desregulación inaceptables, como salarios </w:t>
      </w:r>
      <w:r w:rsidR="00883871">
        <w:rPr>
          <w:rFonts w:ascii="Arial" w:hAnsi="Arial" w:cs="Arial"/>
        </w:rPr>
        <w:t>a la carta</w:t>
      </w:r>
      <w:r w:rsidR="00883871" w:rsidRPr="00BE667F">
        <w:rPr>
          <w:rFonts w:ascii="Arial" w:hAnsi="Arial" w:cs="Arial"/>
        </w:rPr>
        <w:t>, recortes drásticos de plantilla (</w:t>
      </w:r>
      <w:r w:rsidR="00883871">
        <w:rPr>
          <w:rFonts w:ascii="Arial" w:hAnsi="Arial" w:cs="Arial"/>
        </w:rPr>
        <w:t>a modo de</w:t>
      </w:r>
      <w:r w:rsidR="00883871" w:rsidRPr="00BE667F">
        <w:rPr>
          <w:rFonts w:ascii="Arial" w:hAnsi="Arial" w:cs="Arial"/>
        </w:rPr>
        <w:t xml:space="preserve"> ERE), ausencia de una Oferta Pública de Empleo paralizada desde hace más de año y medio, y una flexibilidad laboral que emula las prácticas de los operadores privados más desregulados del mercado.</w:t>
      </w:r>
      <w:r w:rsidR="00883871">
        <w:rPr>
          <w:rFonts w:ascii="Arial" w:hAnsi="Arial" w:cs="Arial"/>
        </w:rPr>
        <w:t xml:space="preserve"> </w:t>
      </w:r>
      <w:r w:rsidR="00883871" w:rsidRPr="00BE667F">
        <w:rPr>
          <w:rFonts w:ascii="Arial" w:hAnsi="Arial" w:cs="Arial"/>
        </w:rPr>
        <w:t xml:space="preserve">Mientras tanto, lo único que parece estar claro para la dirección de la empresa es la apuesta por un recorte sin precedentes en la contratación y en el volumen total de empleo, con el único objetivo de </w:t>
      </w:r>
      <w:r w:rsidR="00883871">
        <w:rPr>
          <w:rFonts w:ascii="Arial" w:hAnsi="Arial" w:cs="Arial"/>
        </w:rPr>
        <w:t>arregla</w:t>
      </w:r>
      <w:r w:rsidR="00883871" w:rsidRPr="00BE667F">
        <w:rPr>
          <w:rFonts w:ascii="Arial" w:hAnsi="Arial" w:cs="Arial"/>
        </w:rPr>
        <w:t>r las cuentas heredadas de la nefasta gestión del anterior presidente</w:t>
      </w:r>
      <w:r w:rsidR="00883871">
        <w:rPr>
          <w:rFonts w:ascii="Arial" w:hAnsi="Arial" w:cs="Arial"/>
        </w:rPr>
        <w:t>.</w:t>
      </w:r>
    </w:p>
    <w:p w14:paraId="06ED65E0" w14:textId="04F67F5C" w:rsidR="00883871" w:rsidRPr="00512B3B" w:rsidRDefault="00883871" w:rsidP="00883871">
      <w:pPr>
        <w:jc w:val="both"/>
        <w:rPr>
          <w:rFonts w:ascii="Arial" w:hAnsi="Arial" w:cs="Arial"/>
        </w:rPr>
      </w:pPr>
      <w:bookmarkStart w:id="0" w:name="_Hlk183603965"/>
      <w:r w:rsidRPr="00512B3B">
        <w:rPr>
          <w:rFonts w:ascii="Arial" w:hAnsi="Arial" w:cs="Arial"/>
        </w:rPr>
        <w:t>CCOO de</w:t>
      </w:r>
      <w:r w:rsidR="001E17DB">
        <w:rPr>
          <w:rFonts w:ascii="Arial" w:hAnsi="Arial" w:cs="Arial"/>
        </w:rPr>
        <w:t xml:space="preserve"> </w:t>
      </w:r>
      <w:r w:rsidR="001E17DB" w:rsidRPr="001E17DB">
        <w:rPr>
          <w:rFonts w:ascii="Arial" w:hAnsi="Arial" w:cs="Arial"/>
          <w:b/>
          <w:bCs/>
        </w:rPr>
        <w:t>Asturias</w:t>
      </w:r>
      <w:r w:rsidRPr="00512B3B">
        <w:rPr>
          <w:rFonts w:ascii="Arial" w:hAnsi="Arial" w:cs="Arial"/>
        </w:rPr>
        <w:t xml:space="preserve"> considera inaceptable el ajuste de plantillas y el recorte de la contratación que, en primer lugar, perjudican gravemente a la ciudadanía, que sufre retrasos en la recepción de correo, especialmente en casos críticos como citaciones médicas o notificaciones con plazos legales. En segundo lugar, afecta a las personas trabajadoras, que enfrentan una sobrecarga de actividad y mayores distancias en sus recorridos de reparto. Esta problemática se agrava particularmente en </w:t>
      </w:r>
      <w:r w:rsidR="001E17DB">
        <w:rPr>
          <w:rFonts w:ascii="Arial" w:hAnsi="Arial" w:cs="Arial"/>
        </w:rPr>
        <w:t xml:space="preserve">el servicio del </w:t>
      </w:r>
      <w:r w:rsidR="001E17DB" w:rsidRPr="001E17DB">
        <w:rPr>
          <w:rFonts w:ascii="Arial" w:hAnsi="Arial" w:cs="Arial"/>
          <w:b/>
          <w:bCs/>
        </w:rPr>
        <w:t>ámbito</w:t>
      </w:r>
      <w:r w:rsidR="001E17DB">
        <w:rPr>
          <w:rFonts w:ascii="Arial" w:hAnsi="Arial" w:cs="Arial"/>
        </w:rPr>
        <w:t xml:space="preserve"> </w:t>
      </w:r>
      <w:r w:rsidR="001E17DB" w:rsidRPr="001E17DB">
        <w:rPr>
          <w:rFonts w:ascii="Arial" w:hAnsi="Arial" w:cs="Arial"/>
          <w:b/>
          <w:bCs/>
        </w:rPr>
        <w:t>rural</w:t>
      </w:r>
      <w:r w:rsidR="001E17DB">
        <w:rPr>
          <w:rFonts w:ascii="Arial" w:hAnsi="Arial" w:cs="Arial"/>
        </w:rPr>
        <w:t xml:space="preserve"> que por la orografía del territorio afecta </w:t>
      </w:r>
      <w:proofErr w:type="spellStart"/>
      <w:r w:rsidR="001E17DB">
        <w:rPr>
          <w:rFonts w:ascii="Arial" w:hAnsi="Arial" w:cs="Arial"/>
        </w:rPr>
        <w:t>mas</w:t>
      </w:r>
      <w:proofErr w:type="spellEnd"/>
      <w:r w:rsidR="001E17DB">
        <w:rPr>
          <w:rFonts w:ascii="Arial" w:hAnsi="Arial" w:cs="Arial"/>
        </w:rPr>
        <w:t xml:space="preserve"> que en otras provincias. Localidades como Pola de Siero, Llanes, Ribadesella, Piedras Blancas, Cangas de Narcea, </w:t>
      </w:r>
      <w:proofErr w:type="gramStart"/>
      <w:r w:rsidR="001E17DB">
        <w:rPr>
          <w:rFonts w:ascii="Arial" w:hAnsi="Arial" w:cs="Arial"/>
        </w:rPr>
        <w:t xml:space="preserve">Navia  </w:t>
      </w:r>
      <w:proofErr w:type="spellStart"/>
      <w:r w:rsidR="001E17DB">
        <w:rPr>
          <w:rFonts w:ascii="Arial" w:hAnsi="Arial" w:cs="Arial"/>
        </w:rPr>
        <w:t>ó</w:t>
      </w:r>
      <w:proofErr w:type="spellEnd"/>
      <w:proofErr w:type="gramEnd"/>
      <w:r w:rsidR="001E17DB">
        <w:rPr>
          <w:rFonts w:ascii="Arial" w:hAnsi="Arial" w:cs="Arial"/>
        </w:rPr>
        <w:t xml:space="preserve"> San Claudio, en ciudades como Oviedo </w:t>
      </w:r>
      <w:r w:rsidR="00A34CEF">
        <w:rPr>
          <w:rFonts w:ascii="Arial" w:hAnsi="Arial" w:cs="Arial"/>
        </w:rPr>
        <w:t xml:space="preserve">La Corredoria, </w:t>
      </w:r>
      <w:r w:rsidR="001E17DB">
        <w:rPr>
          <w:rFonts w:ascii="Arial" w:hAnsi="Arial" w:cs="Arial"/>
        </w:rPr>
        <w:t xml:space="preserve">Avilés y Gijón con barrios </w:t>
      </w:r>
      <w:proofErr w:type="spellStart"/>
      <w:r w:rsidR="001E17DB">
        <w:rPr>
          <w:rFonts w:ascii="Arial" w:hAnsi="Arial" w:cs="Arial"/>
        </w:rPr>
        <w:t>Contrueces</w:t>
      </w:r>
      <w:proofErr w:type="spellEnd"/>
      <w:r w:rsidR="001E17DB">
        <w:rPr>
          <w:rFonts w:ascii="Arial" w:hAnsi="Arial" w:cs="Arial"/>
        </w:rPr>
        <w:t>,</w:t>
      </w:r>
      <w:r w:rsidR="00A34CEF">
        <w:rPr>
          <w:rFonts w:ascii="Arial" w:hAnsi="Arial" w:cs="Arial"/>
        </w:rPr>
        <w:t xml:space="preserve"> </w:t>
      </w:r>
      <w:r w:rsidR="001E17DB">
        <w:rPr>
          <w:rFonts w:ascii="Arial" w:hAnsi="Arial" w:cs="Arial"/>
        </w:rPr>
        <w:t>Roces</w:t>
      </w:r>
      <w:r w:rsidR="00A34CEF">
        <w:rPr>
          <w:rFonts w:ascii="Arial" w:hAnsi="Arial" w:cs="Arial"/>
        </w:rPr>
        <w:t xml:space="preserve"> </w:t>
      </w:r>
      <w:proofErr w:type="spellStart"/>
      <w:r w:rsidR="00A34CEF">
        <w:rPr>
          <w:rFonts w:ascii="Arial" w:hAnsi="Arial" w:cs="Arial"/>
        </w:rPr>
        <w:t>ó</w:t>
      </w:r>
      <w:proofErr w:type="spellEnd"/>
      <w:r w:rsidR="00A34CEF">
        <w:rPr>
          <w:rFonts w:ascii="Arial" w:hAnsi="Arial" w:cs="Arial"/>
        </w:rPr>
        <w:t xml:space="preserve"> La Calzada</w:t>
      </w:r>
      <w:r w:rsidRPr="00512B3B">
        <w:rPr>
          <w:rFonts w:ascii="Arial" w:hAnsi="Arial" w:cs="Arial"/>
        </w:rPr>
        <w:t>, donde la falta de contratación y plantilla es especialmente acuciante.</w:t>
      </w:r>
    </w:p>
    <w:bookmarkEnd w:id="0"/>
    <w:p w14:paraId="5C6A0669" w14:textId="77777777" w:rsidR="00883871" w:rsidRPr="00512B3B" w:rsidRDefault="00883871" w:rsidP="00883871">
      <w:pPr>
        <w:jc w:val="both"/>
        <w:rPr>
          <w:rFonts w:ascii="Arial" w:hAnsi="Arial" w:cs="Arial"/>
        </w:rPr>
      </w:pPr>
      <w:r w:rsidRPr="00512B3B">
        <w:rPr>
          <w:rFonts w:ascii="Arial" w:hAnsi="Arial" w:cs="Arial"/>
        </w:rPr>
        <w:t xml:space="preserve">Para CCOO, buscar la viabilidad de Correos recurriendo a la vieja fórmula de las reconversiones clásicas, basada en inyecciones de dinero público combinadas con recortes de empleo y ajustes de gastos, es un error estratégico. Este enfoque, centrado en equilibrar la cuenta de resultados y el EBITDA en lugar de reposicionar a Correos en el mercado y fomentar el crecimiento de la actividad, contradice por completo la filosofía del </w:t>
      </w:r>
      <w:r w:rsidRPr="00512B3B">
        <w:rPr>
          <w:rFonts w:ascii="Arial" w:hAnsi="Arial" w:cs="Arial"/>
          <w:i/>
          <w:iCs/>
        </w:rPr>
        <w:t>Acuerdo Estratégico 2024-2028</w:t>
      </w:r>
      <w:r w:rsidRPr="00512B3B">
        <w:rPr>
          <w:rFonts w:ascii="Arial" w:hAnsi="Arial" w:cs="Arial"/>
        </w:rPr>
        <w:t>. Además, supone un alto riesgo de generar un escenario de creciente tensión, algo que resulta completamente indeseable en la delicada situación actual de la empresa.</w:t>
      </w:r>
    </w:p>
    <w:p w14:paraId="6A84C149" w14:textId="77777777" w:rsidR="00883871" w:rsidRPr="00512B3B" w:rsidRDefault="00883871" w:rsidP="00883871">
      <w:pPr>
        <w:jc w:val="both"/>
        <w:rPr>
          <w:rFonts w:ascii="Arial" w:hAnsi="Arial" w:cs="Arial"/>
        </w:rPr>
      </w:pPr>
      <w:r w:rsidRPr="00512B3B">
        <w:rPr>
          <w:rFonts w:ascii="Arial" w:hAnsi="Arial" w:cs="Arial"/>
        </w:rPr>
        <w:t xml:space="preserve">Por ello, CCOO exige a SEPI y a Correos que estén a la altura del compromiso asumido por todos los firmantes del </w:t>
      </w:r>
      <w:r w:rsidRPr="00512B3B">
        <w:rPr>
          <w:rFonts w:ascii="Arial" w:hAnsi="Arial" w:cs="Arial"/>
          <w:i/>
          <w:iCs/>
        </w:rPr>
        <w:t>Acuerdo Marco Estratégico</w:t>
      </w:r>
      <w:r w:rsidRPr="00512B3B">
        <w:rPr>
          <w:rFonts w:ascii="Arial" w:hAnsi="Arial" w:cs="Arial"/>
        </w:rPr>
        <w:t xml:space="preserve"> del 22 de julio, impulsando el desarrollo del Correo Público que nuestro país necesita y merece. El diálogo social y el consenso no deben ser utilizados como excusa para aplicar soluciones cortoplacistas que intenten subsanar en unos meses los problemas que se han acumulado durante años.</w:t>
      </w:r>
    </w:p>
    <w:p w14:paraId="6E412251" w14:textId="77777777" w:rsidR="00883871" w:rsidRDefault="00883871" w:rsidP="000A495C">
      <w:pPr>
        <w:jc w:val="both"/>
        <w:rPr>
          <w:rFonts w:ascii="Arial" w:hAnsi="Arial" w:cs="Arial"/>
          <w:sz w:val="22"/>
          <w:szCs w:val="22"/>
        </w:rPr>
      </w:pPr>
    </w:p>
    <w:p w14:paraId="32C2064E" w14:textId="77777777" w:rsidR="00883871" w:rsidRDefault="00883871" w:rsidP="000A495C">
      <w:pPr>
        <w:jc w:val="both"/>
        <w:rPr>
          <w:rFonts w:ascii="Arial" w:hAnsi="Arial" w:cs="Arial"/>
          <w:sz w:val="22"/>
          <w:szCs w:val="22"/>
        </w:rPr>
      </w:pPr>
    </w:p>
    <w:p w14:paraId="2C92E9F0" w14:textId="50448A28" w:rsidR="000A495C" w:rsidRPr="00431C0E" w:rsidRDefault="000A495C" w:rsidP="000A495C">
      <w:pPr>
        <w:jc w:val="both"/>
        <w:rPr>
          <w:rFonts w:ascii="Arial" w:hAnsi="Arial" w:cs="Arial"/>
          <w:sz w:val="22"/>
          <w:szCs w:val="22"/>
        </w:rPr>
      </w:pPr>
      <w:r w:rsidRPr="00431C0E">
        <w:rPr>
          <w:rFonts w:ascii="Arial" w:hAnsi="Arial" w:cs="Arial"/>
          <w:sz w:val="22"/>
          <w:szCs w:val="22"/>
        </w:rPr>
        <w:t xml:space="preserve">Contacto: </w:t>
      </w:r>
      <w:proofErr w:type="spellStart"/>
      <w:r w:rsidR="00476E84">
        <w:rPr>
          <w:rFonts w:ascii="Arial" w:hAnsi="Arial" w:cs="Arial"/>
          <w:color w:val="FF0000"/>
          <w:sz w:val="22"/>
          <w:szCs w:val="22"/>
        </w:rPr>
        <w:t>Mª</w:t>
      </w:r>
      <w:proofErr w:type="spellEnd"/>
      <w:r w:rsidR="00476E84">
        <w:rPr>
          <w:rFonts w:ascii="Arial" w:hAnsi="Arial" w:cs="Arial"/>
          <w:color w:val="FF0000"/>
          <w:sz w:val="22"/>
          <w:szCs w:val="22"/>
        </w:rPr>
        <w:t xml:space="preserve"> Victoria Zabaleta. Secretaria</w:t>
      </w:r>
      <w:r w:rsidR="004067C9">
        <w:rPr>
          <w:rFonts w:ascii="Arial" w:hAnsi="Arial" w:cs="Arial"/>
          <w:color w:val="FF0000"/>
          <w:sz w:val="22"/>
          <w:szCs w:val="22"/>
        </w:rPr>
        <w:t xml:space="preserve"> de CCOO Correos de Asturias.</w:t>
      </w:r>
    </w:p>
    <w:p w14:paraId="1B255E80" w14:textId="1A72008E" w:rsidR="00CC5A77" w:rsidRPr="00431C0E" w:rsidRDefault="000A495C" w:rsidP="000A495C">
      <w:pPr>
        <w:jc w:val="both"/>
        <w:rPr>
          <w:rFonts w:ascii="Arial" w:hAnsi="Arial" w:cs="Arial"/>
          <w:sz w:val="22"/>
          <w:szCs w:val="22"/>
        </w:rPr>
      </w:pPr>
      <w:r w:rsidRPr="00431C0E">
        <w:rPr>
          <w:rFonts w:ascii="Arial" w:hAnsi="Arial" w:cs="Arial"/>
          <w:sz w:val="22"/>
          <w:szCs w:val="22"/>
        </w:rPr>
        <w:t xml:space="preserve">Teléfono: </w:t>
      </w:r>
      <w:r w:rsidR="00476E84">
        <w:rPr>
          <w:rFonts w:ascii="Arial" w:hAnsi="Arial" w:cs="Arial"/>
          <w:color w:val="FF0000"/>
          <w:sz w:val="22"/>
          <w:szCs w:val="22"/>
        </w:rPr>
        <w:t>699712490</w:t>
      </w:r>
    </w:p>
    <w:sectPr w:rsidR="00CC5A77" w:rsidRPr="00431C0E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-1702" w:right="1133" w:bottom="1560" w:left="1134" w:header="397" w:footer="26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42D2F8" w14:textId="77777777" w:rsidR="00B3788F" w:rsidRDefault="00B3788F">
      <w:r>
        <w:separator/>
      </w:r>
    </w:p>
  </w:endnote>
  <w:endnote w:type="continuationSeparator" w:id="0">
    <w:p w14:paraId="1B1DE935" w14:textId="77777777" w:rsidR="00B3788F" w:rsidRDefault="00B378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C273A2" w14:textId="77777777" w:rsidR="00806313" w:rsidRDefault="00806313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5ADADDE0" w14:textId="77777777" w:rsidR="00806313" w:rsidRDefault="00806313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C8F42C" w14:textId="77777777" w:rsidR="00806313" w:rsidRDefault="00806313">
    <w:pPr>
      <w:pStyle w:val="Piedepgina"/>
    </w:pPr>
  </w:p>
  <w:p w14:paraId="344BFF7F" w14:textId="77777777" w:rsidR="00806313" w:rsidRDefault="00806313">
    <w:pPr>
      <w:pStyle w:val="Piedepgina"/>
      <w:tabs>
        <w:tab w:val="clear" w:pos="4252"/>
        <w:tab w:val="clear" w:pos="8504"/>
        <w:tab w:val="left" w:pos="0"/>
        <w:tab w:val="left" w:pos="5929"/>
      </w:tabs>
      <w:ind w:right="-1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AF3F1A" w14:textId="77777777" w:rsidR="00806313" w:rsidRDefault="00806313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310E4F" w14:textId="77777777" w:rsidR="00B3788F" w:rsidRDefault="00B3788F">
      <w:r>
        <w:separator/>
      </w:r>
    </w:p>
  </w:footnote>
  <w:footnote w:type="continuationSeparator" w:id="0">
    <w:p w14:paraId="643B54F9" w14:textId="77777777" w:rsidR="00B3788F" w:rsidRDefault="00B378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362CC8" w14:textId="77777777" w:rsidR="00806313" w:rsidRDefault="00806313">
    <w:pPr>
      <w:pStyle w:val="Encabezado"/>
      <w:ind w:left="0" w:right="0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243320" w14:textId="7B077732" w:rsidR="00806313" w:rsidRDefault="005C63CD">
    <w:pPr>
      <w:pStyle w:val="Encabezado"/>
      <w:tabs>
        <w:tab w:val="clear" w:pos="4252"/>
      </w:tabs>
      <w:ind w:left="0" w:right="0"/>
    </w:pPr>
    <w:r>
      <w:rPr>
        <w:noProof/>
      </w:rPr>
      <w:drawing>
        <wp:anchor distT="0" distB="0" distL="114300" distR="114300" simplePos="0" relativeHeight="251657216" behindDoc="0" locked="0" layoutInCell="1" allowOverlap="1" wp14:anchorId="7C0608DF" wp14:editId="6874AB47">
          <wp:simplePos x="0" y="0"/>
          <wp:positionH relativeFrom="column">
            <wp:posOffset>68580</wp:posOffset>
          </wp:positionH>
          <wp:positionV relativeFrom="paragraph">
            <wp:posOffset>36830</wp:posOffset>
          </wp:positionV>
          <wp:extent cx="1513840" cy="763270"/>
          <wp:effectExtent l="0" t="0" r="0" b="0"/>
          <wp:wrapNone/>
          <wp:docPr id="1026" name="Imagen 102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1026"/>
                  <pic:cNvPicPr preferRelativeResize="0"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3840" cy="763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6CA244C" w14:textId="77777777" w:rsidR="00806313" w:rsidRDefault="00806313">
    <w:pPr>
      <w:pStyle w:val="Encabezado"/>
      <w:tabs>
        <w:tab w:val="clear" w:pos="4252"/>
      </w:tabs>
      <w:ind w:left="0" w:right="0"/>
      <w:jc w:val="left"/>
    </w:pPr>
  </w:p>
  <w:p w14:paraId="23DF5100" w14:textId="77777777" w:rsidR="00806313" w:rsidRDefault="00806313">
    <w:pPr>
      <w:pStyle w:val="Encabezado"/>
      <w:tabs>
        <w:tab w:val="clear" w:pos="4252"/>
      </w:tabs>
      <w:ind w:left="0" w:right="0"/>
      <w:jc w:val="left"/>
    </w:pPr>
  </w:p>
  <w:p w14:paraId="49333B3A" w14:textId="77777777" w:rsidR="00806313" w:rsidRDefault="00806313">
    <w:pPr>
      <w:pStyle w:val="Encabezado"/>
      <w:tabs>
        <w:tab w:val="clear" w:pos="4252"/>
      </w:tabs>
      <w:ind w:left="0" w:right="0"/>
      <w:jc w:val="left"/>
    </w:pPr>
  </w:p>
  <w:p w14:paraId="4D73EBD3" w14:textId="77777777" w:rsidR="00806313" w:rsidRDefault="00806313">
    <w:pPr>
      <w:pStyle w:val="Encabezado"/>
      <w:tabs>
        <w:tab w:val="clear" w:pos="4252"/>
      </w:tabs>
      <w:ind w:left="0" w:right="0"/>
      <w:jc w:val="left"/>
    </w:pPr>
  </w:p>
  <w:p w14:paraId="732AC9A0" w14:textId="77777777" w:rsidR="00806313" w:rsidRDefault="00806313">
    <w:pPr>
      <w:pStyle w:val="Encabezado"/>
      <w:tabs>
        <w:tab w:val="clear" w:pos="4252"/>
      </w:tabs>
      <w:ind w:left="0" w:right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11.4pt;height:11.4pt" o:bullet="t">
        <v:imagedata r:id="rId1" o:title="clip_image001"/>
      </v:shape>
    </w:pict>
  </w:numPicBullet>
  <w:abstractNum w:abstractNumId="0" w15:restartNumberingAfterBreak="0">
    <w:nsid w:val="00000001"/>
    <w:multiLevelType w:val="singleLevel"/>
    <w:tmpl w:val="00000001"/>
    <w:name w:val="WW8Num2"/>
    <w:lvl w:ilvl="0">
      <w:start w:val="1"/>
      <w:numFmt w:val="bullet"/>
      <w:lvlText w:val=""/>
      <w:lvlJc w:val="left"/>
      <w:pPr>
        <w:tabs>
          <w:tab w:val="left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1234381"/>
    <w:multiLevelType w:val="hybridMultilevel"/>
    <w:tmpl w:val="0186B466"/>
    <w:lvl w:ilvl="0" w:tplc="807EF48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98C6F67"/>
    <w:multiLevelType w:val="hybridMultilevel"/>
    <w:tmpl w:val="26B6665E"/>
    <w:lvl w:ilvl="0" w:tplc="2BA601A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05E2754"/>
    <w:multiLevelType w:val="hybridMultilevel"/>
    <w:tmpl w:val="D2521232"/>
    <w:lvl w:ilvl="0" w:tplc="0C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40916E6"/>
    <w:multiLevelType w:val="hybridMultilevel"/>
    <w:tmpl w:val="87AE833A"/>
    <w:lvl w:ilvl="0" w:tplc="2BA601A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A9974E2"/>
    <w:multiLevelType w:val="hybridMultilevel"/>
    <w:tmpl w:val="C0D89F0E"/>
    <w:lvl w:ilvl="0" w:tplc="30E8941E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  <w:sz w:val="20"/>
        <w:szCs w:val="20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81A699F"/>
    <w:multiLevelType w:val="hybridMultilevel"/>
    <w:tmpl w:val="87FAEC3A"/>
    <w:lvl w:ilvl="0" w:tplc="30E8941E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  <w:sz w:val="20"/>
        <w:szCs w:val="20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8B41ABC"/>
    <w:multiLevelType w:val="hybridMultilevel"/>
    <w:tmpl w:val="8FE23BD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3817B8E"/>
    <w:multiLevelType w:val="hybridMultilevel"/>
    <w:tmpl w:val="1B90CE8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F483BA5"/>
    <w:multiLevelType w:val="hybridMultilevel"/>
    <w:tmpl w:val="D4AC630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20C67AA"/>
    <w:multiLevelType w:val="hybridMultilevel"/>
    <w:tmpl w:val="A5BA6E8A"/>
    <w:lvl w:ilvl="0" w:tplc="36548BD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800473A"/>
    <w:multiLevelType w:val="hybridMultilevel"/>
    <w:tmpl w:val="8EE20F6C"/>
    <w:lvl w:ilvl="0" w:tplc="483A35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6D712A"/>
    <w:multiLevelType w:val="hybridMultilevel"/>
    <w:tmpl w:val="4BC2D5D2"/>
    <w:lvl w:ilvl="0" w:tplc="483A35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C204A95"/>
    <w:multiLevelType w:val="hybridMultilevel"/>
    <w:tmpl w:val="CC440A22"/>
    <w:lvl w:ilvl="0" w:tplc="B69AD69C">
      <w:start w:val="1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F46DEA"/>
    <w:multiLevelType w:val="hybridMultilevel"/>
    <w:tmpl w:val="C1B61C80"/>
    <w:lvl w:ilvl="0" w:tplc="2BA601A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45802700">
    <w:abstractNumId w:val="8"/>
  </w:num>
  <w:num w:numId="2" w16cid:durableId="599459638">
    <w:abstractNumId w:val="3"/>
  </w:num>
  <w:num w:numId="3" w16cid:durableId="219828074">
    <w:abstractNumId w:val="1"/>
  </w:num>
  <w:num w:numId="4" w16cid:durableId="2100254760">
    <w:abstractNumId w:val="4"/>
  </w:num>
  <w:num w:numId="5" w16cid:durableId="376391048">
    <w:abstractNumId w:val="2"/>
  </w:num>
  <w:num w:numId="6" w16cid:durableId="413210195">
    <w:abstractNumId w:val="13"/>
  </w:num>
  <w:num w:numId="7" w16cid:durableId="23333850">
    <w:abstractNumId w:val="5"/>
  </w:num>
  <w:num w:numId="8" w16cid:durableId="1242639162">
    <w:abstractNumId w:val="5"/>
  </w:num>
  <w:num w:numId="9" w16cid:durableId="1029448140">
    <w:abstractNumId w:val="6"/>
  </w:num>
  <w:num w:numId="10" w16cid:durableId="520122129">
    <w:abstractNumId w:val="9"/>
  </w:num>
  <w:num w:numId="11" w16cid:durableId="535504358">
    <w:abstractNumId w:val="9"/>
  </w:num>
  <w:num w:numId="12" w16cid:durableId="854879483">
    <w:abstractNumId w:val="7"/>
  </w:num>
  <w:num w:numId="13" w16cid:durableId="1969781395">
    <w:abstractNumId w:val="14"/>
  </w:num>
  <w:num w:numId="14" w16cid:durableId="784888970">
    <w:abstractNumId w:val="10"/>
  </w:num>
  <w:num w:numId="15" w16cid:durableId="1376584143">
    <w:abstractNumId w:val="11"/>
  </w:num>
  <w:num w:numId="16" w16cid:durableId="811026207">
    <w:abstractNumId w:val="1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02310"/>
    <w:rsid w:val="00003740"/>
    <w:rsid w:val="00005646"/>
    <w:rsid w:val="0001570A"/>
    <w:rsid w:val="00016FE6"/>
    <w:rsid w:val="0001719D"/>
    <w:rsid w:val="0002558E"/>
    <w:rsid w:val="00032BDA"/>
    <w:rsid w:val="000428A5"/>
    <w:rsid w:val="000431A6"/>
    <w:rsid w:val="00044E4E"/>
    <w:rsid w:val="0005633A"/>
    <w:rsid w:val="00056F76"/>
    <w:rsid w:val="000639CB"/>
    <w:rsid w:val="00064F84"/>
    <w:rsid w:val="000715E5"/>
    <w:rsid w:val="000729F0"/>
    <w:rsid w:val="00072FC4"/>
    <w:rsid w:val="00090374"/>
    <w:rsid w:val="00090D72"/>
    <w:rsid w:val="00095220"/>
    <w:rsid w:val="000A2555"/>
    <w:rsid w:val="000A373C"/>
    <w:rsid w:val="000A495C"/>
    <w:rsid w:val="000B4395"/>
    <w:rsid w:val="000D2C20"/>
    <w:rsid w:val="000E4FCE"/>
    <w:rsid w:val="000E5B21"/>
    <w:rsid w:val="000E7045"/>
    <w:rsid w:val="000F14D3"/>
    <w:rsid w:val="000F4C3F"/>
    <w:rsid w:val="000F7248"/>
    <w:rsid w:val="0010444B"/>
    <w:rsid w:val="001118A8"/>
    <w:rsid w:val="001136B7"/>
    <w:rsid w:val="001230B1"/>
    <w:rsid w:val="00123D5E"/>
    <w:rsid w:val="001372BA"/>
    <w:rsid w:val="00144962"/>
    <w:rsid w:val="00144C19"/>
    <w:rsid w:val="00144DCF"/>
    <w:rsid w:val="00144EFB"/>
    <w:rsid w:val="0015337E"/>
    <w:rsid w:val="00155A6F"/>
    <w:rsid w:val="00157A8A"/>
    <w:rsid w:val="00164195"/>
    <w:rsid w:val="00164705"/>
    <w:rsid w:val="00167B43"/>
    <w:rsid w:val="00172A27"/>
    <w:rsid w:val="00175576"/>
    <w:rsid w:val="0017674C"/>
    <w:rsid w:val="00177A06"/>
    <w:rsid w:val="0018683A"/>
    <w:rsid w:val="001920F2"/>
    <w:rsid w:val="001923EA"/>
    <w:rsid w:val="001B067F"/>
    <w:rsid w:val="001B4917"/>
    <w:rsid w:val="001C0B8B"/>
    <w:rsid w:val="001D20AB"/>
    <w:rsid w:val="001D3A5E"/>
    <w:rsid w:val="001D6AC8"/>
    <w:rsid w:val="001E17DB"/>
    <w:rsid w:val="001E2A27"/>
    <w:rsid w:val="001E4AEF"/>
    <w:rsid w:val="0020178E"/>
    <w:rsid w:val="002075B0"/>
    <w:rsid w:val="00211A2E"/>
    <w:rsid w:val="00212903"/>
    <w:rsid w:val="00220455"/>
    <w:rsid w:val="00221EBB"/>
    <w:rsid w:val="00222C46"/>
    <w:rsid w:val="002256F7"/>
    <w:rsid w:val="00243768"/>
    <w:rsid w:val="00251438"/>
    <w:rsid w:val="00252274"/>
    <w:rsid w:val="0025454A"/>
    <w:rsid w:val="00255953"/>
    <w:rsid w:val="00257CF3"/>
    <w:rsid w:val="00263FE4"/>
    <w:rsid w:val="00274265"/>
    <w:rsid w:val="00275AFE"/>
    <w:rsid w:val="00277CF6"/>
    <w:rsid w:val="0028415F"/>
    <w:rsid w:val="00287CBB"/>
    <w:rsid w:val="00290882"/>
    <w:rsid w:val="00295F1D"/>
    <w:rsid w:val="00297408"/>
    <w:rsid w:val="00297CDE"/>
    <w:rsid w:val="002A1AA2"/>
    <w:rsid w:val="002A5155"/>
    <w:rsid w:val="002A6193"/>
    <w:rsid w:val="002B049C"/>
    <w:rsid w:val="002C3683"/>
    <w:rsid w:val="002C7C65"/>
    <w:rsid w:val="002D2BDE"/>
    <w:rsid w:val="002D456E"/>
    <w:rsid w:val="002E4F37"/>
    <w:rsid w:val="002F2130"/>
    <w:rsid w:val="002F25FA"/>
    <w:rsid w:val="002F62AE"/>
    <w:rsid w:val="002F7385"/>
    <w:rsid w:val="002F7CCD"/>
    <w:rsid w:val="00301346"/>
    <w:rsid w:val="003077C9"/>
    <w:rsid w:val="00307F5B"/>
    <w:rsid w:val="00312C22"/>
    <w:rsid w:val="00313053"/>
    <w:rsid w:val="00313D23"/>
    <w:rsid w:val="00325B2D"/>
    <w:rsid w:val="00325C21"/>
    <w:rsid w:val="00334600"/>
    <w:rsid w:val="00345232"/>
    <w:rsid w:val="003508EB"/>
    <w:rsid w:val="00351EE2"/>
    <w:rsid w:val="00356875"/>
    <w:rsid w:val="00362344"/>
    <w:rsid w:val="003717F8"/>
    <w:rsid w:val="00374524"/>
    <w:rsid w:val="00384345"/>
    <w:rsid w:val="00387625"/>
    <w:rsid w:val="00391B40"/>
    <w:rsid w:val="00393055"/>
    <w:rsid w:val="00396C09"/>
    <w:rsid w:val="003A323E"/>
    <w:rsid w:val="003C4882"/>
    <w:rsid w:val="003C508A"/>
    <w:rsid w:val="003C575F"/>
    <w:rsid w:val="003C702E"/>
    <w:rsid w:val="003D0418"/>
    <w:rsid w:val="003E5DA3"/>
    <w:rsid w:val="003E7964"/>
    <w:rsid w:val="004022A8"/>
    <w:rsid w:val="004067C9"/>
    <w:rsid w:val="004129A2"/>
    <w:rsid w:val="00417644"/>
    <w:rsid w:val="0042652E"/>
    <w:rsid w:val="00431C0E"/>
    <w:rsid w:val="0043529E"/>
    <w:rsid w:val="00436356"/>
    <w:rsid w:val="00436FC3"/>
    <w:rsid w:val="004435A1"/>
    <w:rsid w:val="0044399B"/>
    <w:rsid w:val="00444B99"/>
    <w:rsid w:val="004572D7"/>
    <w:rsid w:val="004576E1"/>
    <w:rsid w:val="00462B42"/>
    <w:rsid w:val="00470C68"/>
    <w:rsid w:val="00476E84"/>
    <w:rsid w:val="0048767D"/>
    <w:rsid w:val="00487726"/>
    <w:rsid w:val="00495515"/>
    <w:rsid w:val="004A32C5"/>
    <w:rsid w:val="004A7E20"/>
    <w:rsid w:val="004B15B5"/>
    <w:rsid w:val="004B3275"/>
    <w:rsid w:val="004B340C"/>
    <w:rsid w:val="004B44EB"/>
    <w:rsid w:val="004B4D6E"/>
    <w:rsid w:val="004C1083"/>
    <w:rsid w:val="004C4C7B"/>
    <w:rsid w:val="004D3609"/>
    <w:rsid w:val="004E12A1"/>
    <w:rsid w:val="004E7A7C"/>
    <w:rsid w:val="004F0D27"/>
    <w:rsid w:val="004F3458"/>
    <w:rsid w:val="00503D3B"/>
    <w:rsid w:val="005145B8"/>
    <w:rsid w:val="00514EA3"/>
    <w:rsid w:val="005169D5"/>
    <w:rsid w:val="005262E1"/>
    <w:rsid w:val="00531896"/>
    <w:rsid w:val="00537F92"/>
    <w:rsid w:val="00544711"/>
    <w:rsid w:val="00553008"/>
    <w:rsid w:val="00556C2D"/>
    <w:rsid w:val="00576A97"/>
    <w:rsid w:val="005875DB"/>
    <w:rsid w:val="005A7442"/>
    <w:rsid w:val="005B55B9"/>
    <w:rsid w:val="005B60C1"/>
    <w:rsid w:val="005B61BB"/>
    <w:rsid w:val="005B6E0C"/>
    <w:rsid w:val="005C3E6C"/>
    <w:rsid w:val="005C63CD"/>
    <w:rsid w:val="005D29E1"/>
    <w:rsid w:val="005E0B0F"/>
    <w:rsid w:val="005E381D"/>
    <w:rsid w:val="005E6E49"/>
    <w:rsid w:val="005F1907"/>
    <w:rsid w:val="005F69A1"/>
    <w:rsid w:val="005F78E7"/>
    <w:rsid w:val="00600015"/>
    <w:rsid w:val="00603024"/>
    <w:rsid w:val="0061168D"/>
    <w:rsid w:val="00621435"/>
    <w:rsid w:val="006228BB"/>
    <w:rsid w:val="00624F0D"/>
    <w:rsid w:val="00625508"/>
    <w:rsid w:val="00634411"/>
    <w:rsid w:val="0063614D"/>
    <w:rsid w:val="00637F36"/>
    <w:rsid w:val="006438B0"/>
    <w:rsid w:val="006457B2"/>
    <w:rsid w:val="006527C4"/>
    <w:rsid w:val="006533C4"/>
    <w:rsid w:val="006575FB"/>
    <w:rsid w:val="00661DA6"/>
    <w:rsid w:val="00673732"/>
    <w:rsid w:val="006742BF"/>
    <w:rsid w:val="00680DFC"/>
    <w:rsid w:val="0068103F"/>
    <w:rsid w:val="00682709"/>
    <w:rsid w:val="0068419A"/>
    <w:rsid w:val="00685CB0"/>
    <w:rsid w:val="00694C28"/>
    <w:rsid w:val="0069624C"/>
    <w:rsid w:val="006974C1"/>
    <w:rsid w:val="00697B52"/>
    <w:rsid w:val="006A3D67"/>
    <w:rsid w:val="006A627D"/>
    <w:rsid w:val="006C0CC1"/>
    <w:rsid w:val="006E22D0"/>
    <w:rsid w:val="006E4184"/>
    <w:rsid w:val="006E7655"/>
    <w:rsid w:val="00700485"/>
    <w:rsid w:val="00710E09"/>
    <w:rsid w:val="00722C52"/>
    <w:rsid w:val="007279C3"/>
    <w:rsid w:val="00731630"/>
    <w:rsid w:val="007332C8"/>
    <w:rsid w:val="00745C7B"/>
    <w:rsid w:val="00755003"/>
    <w:rsid w:val="00767239"/>
    <w:rsid w:val="0076725B"/>
    <w:rsid w:val="0077267D"/>
    <w:rsid w:val="00775016"/>
    <w:rsid w:val="007903F0"/>
    <w:rsid w:val="0079218A"/>
    <w:rsid w:val="00793243"/>
    <w:rsid w:val="00793B93"/>
    <w:rsid w:val="007A029A"/>
    <w:rsid w:val="007A1A68"/>
    <w:rsid w:val="007A2801"/>
    <w:rsid w:val="007A2FDE"/>
    <w:rsid w:val="007B1F7F"/>
    <w:rsid w:val="007B3F8E"/>
    <w:rsid w:val="007B4C2C"/>
    <w:rsid w:val="007B5571"/>
    <w:rsid w:val="007C500E"/>
    <w:rsid w:val="007D0B5A"/>
    <w:rsid w:val="007D1511"/>
    <w:rsid w:val="007D26E0"/>
    <w:rsid w:val="007D5223"/>
    <w:rsid w:val="007D5ECA"/>
    <w:rsid w:val="007D6D43"/>
    <w:rsid w:val="007D6FA2"/>
    <w:rsid w:val="007E48C5"/>
    <w:rsid w:val="007E5295"/>
    <w:rsid w:val="007F0C0A"/>
    <w:rsid w:val="00800E79"/>
    <w:rsid w:val="00801A1A"/>
    <w:rsid w:val="00804EC3"/>
    <w:rsid w:val="00806313"/>
    <w:rsid w:val="008141DF"/>
    <w:rsid w:val="0083170A"/>
    <w:rsid w:val="00831FDD"/>
    <w:rsid w:val="008349A2"/>
    <w:rsid w:val="008372C6"/>
    <w:rsid w:val="00844250"/>
    <w:rsid w:val="0084794B"/>
    <w:rsid w:val="0085099F"/>
    <w:rsid w:val="008512FD"/>
    <w:rsid w:val="00851BEB"/>
    <w:rsid w:val="00856538"/>
    <w:rsid w:val="00857306"/>
    <w:rsid w:val="008650B6"/>
    <w:rsid w:val="00883871"/>
    <w:rsid w:val="008839D9"/>
    <w:rsid w:val="008862EF"/>
    <w:rsid w:val="008875E9"/>
    <w:rsid w:val="0089333D"/>
    <w:rsid w:val="008A244E"/>
    <w:rsid w:val="008A55C6"/>
    <w:rsid w:val="008B04AD"/>
    <w:rsid w:val="008B63F9"/>
    <w:rsid w:val="008B71B5"/>
    <w:rsid w:val="008C3689"/>
    <w:rsid w:val="008C4627"/>
    <w:rsid w:val="008C4928"/>
    <w:rsid w:val="008C62D1"/>
    <w:rsid w:val="008C79C5"/>
    <w:rsid w:val="008D4488"/>
    <w:rsid w:val="008E0E2D"/>
    <w:rsid w:val="008E7676"/>
    <w:rsid w:val="008F49CB"/>
    <w:rsid w:val="008F4B82"/>
    <w:rsid w:val="008F567E"/>
    <w:rsid w:val="0090039E"/>
    <w:rsid w:val="00904E3B"/>
    <w:rsid w:val="009051FA"/>
    <w:rsid w:val="00911492"/>
    <w:rsid w:val="0092005E"/>
    <w:rsid w:val="009327FE"/>
    <w:rsid w:val="00940953"/>
    <w:rsid w:val="00941697"/>
    <w:rsid w:val="00944577"/>
    <w:rsid w:val="00947D59"/>
    <w:rsid w:val="00947D65"/>
    <w:rsid w:val="0096105F"/>
    <w:rsid w:val="009618E3"/>
    <w:rsid w:val="00973F75"/>
    <w:rsid w:val="0097473A"/>
    <w:rsid w:val="00981D65"/>
    <w:rsid w:val="00985DAC"/>
    <w:rsid w:val="009934B5"/>
    <w:rsid w:val="0099682A"/>
    <w:rsid w:val="00997984"/>
    <w:rsid w:val="009A0BA8"/>
    <w:rsid w:val="009B54ED"/>
    <w:rsid w:val="009B7268"/>
    <w:rsid w:val="009B72A8"/>
    <w:rsid w:val="009C11C9"/>
    <w:rsid w:val="009C6E71"/>
    <w:rsid w:val="009D080E"/>
    <w:rsid w:val="009E0771"/>
    <w:rsid w:val="009E2785"/>
    <w:rsid w:val="009E466E"/>
    <w:rsid w:val="009E5DB4"/>
    <w:rsid w:val="009E64E0"/>
    <w:rsid w:val="009E799C"/>
    <w:rsid w:val="009F1049"/>
    <w:rsid w:val="009F33B2"/>
    <w:rsid w:val="00A221D5"/>
    <w:rsid w:val="00A23E72"/>
    <w:rsid w:val="00A32DE5"/>
    <w:rsid w:val="00A34CEF"/>
    <w:rsid w:val="00A37928"/>
    <w:rsid w:val="00A44A01"/>
    <w:rsid w:val="00A5064E"/>
    <w:rsid w:val="00A530BA"/>
    <w:rsid w:val="00A54E87"/>
    <w:rsid w:val="00A734B7"/>
    <w:rsid w:val="00A73976"/>
    <w:rsid w:val="00A744F9"/>
    <w:rsid w:val="00A75268"/>
    <w:rsid w:val="00A800ED"/>
    <w:rsid w:val="00A848C7"/>
    <w:rsid w:val="00A87F99"/>
    <w:rsid w:val="00A90E71"/>
    <w:rsid w:val="00A91DBE"/>
    <w:rsid w:val="00A930D6"/>
    <w:rsid w:val="00A95CD4"/>
    <w:rsid w:val="00A97B22"/>
    <w:rsid w:val="00AA60A0"/>
    <w:rsid w:val="00AB0D5C"/>
    <w:rsid w:val="00AB12D4"/>
    <w:rsid w:val="00AC495D"/>
    <w:rsid w:val="00AD4ACF"/>
    <w:rsid w:val="00AF2BA8"/>
    <w:rsid w:val="00AF3B0D"/>
    <w:rsid w:val="00AF7D9F"/>
    <w:rsid w:val="00B023C7"/>
    <w:rsid w:val="00B025F5"/>
    <w:rsid w:val="00B0384D"/>
    <w:rsid w:val="00B06016"/>
    <w:rsid w:val="00B12034"/>
    <w:rsid w:val="00B12E63"/>
    <w:rsid w:val="00B1357D"/>
    <w:rsid w:val="00B14599"/>
    <w:rsid w:val="00B22B5E"/>
    <w:rsid w:val="00B25982"/>
    <w:rsid w:val="00B27F7B"/>
    <w:rsid w:val="00B346BD"/>
    <w:rsid w:val="00B36F14"/>
    <w:rsid w:val="00B3788F"/>
    <w:rsid w:val="00B452FC"/>
    <w:rsid w:val="00B45A5C"/>
    <w:rsid w:val="00B475E4"/>
    <w:rsid w:val="00B66E3B"/>
    <w:rsid w:val="00B72DA1"/>
    <w:rsid w:val="00B72E82"/>
    <w:rsid w:val="00B75C5A"/>
    <w:rsid w:val="00B91578"/>
    <w:rsid w:val="00BA5251"/>
    <w:rsid w:val="00BA726B"/>
    <w:rsid w:val="00BB1E1F"/>
    <w:rsid w:val="00BC0103"/>
    <w:rsid w:val="00BD4FC6"/>
    <w:rsid w:val="00BD74A9"/>
    <w:rsid w:val="00BE2B36"/>
    <w:rsid w:val="00BE7439"/>
    <w:rsid w:val="00BF0C50"/>
    <w:rsid w:val="00BF215B"/>
    <w:rsid w:val="00BF2BFE"/>
    <w:rsid w:val="00BF6801"/>
    <w:rsid w:val="00C04E0F"/>
    <w:rsid w:val="00C05277"/>
    <w:rsid w:val="00C062EC"/>
    <w:rsid w:val="00C11C7B"/>
    <w:rsid w:val="00C22F72"/>
    <w:rsid w:val="00C33363"/>
    <w:rsid w:val="00C37EE5"/>
    <w:rsid w:val="00C51FBB"/>
    <w:rsid w:val="00C53BD3"/>
    <w:rsid w:val="00C70CB8"/>
    <w:rsid w:val="00C716FD"/>
    <w:rsid w:val="00C723B0"/>
    <w:rsid w:val="00C72460"/>
    <w:rsid w:val="00C73984"/>
    <w:rsid w:val="00C74D44"/>
    <w:rsid w:val="00C764A7"/>
    <w:rsid w:val="00C768C4"/>
    <w:rsid w:val="00C810BE"/>
    <w:rsid w:val="00C956E7"/>
    <w:rsid w:val="00C96C91"/>
    <w:rsid w:val="00CB3523"/>
    <w:rsid w:val="00CB5C75"/>
    <w:rsid w:val="00CC0161"/>
    <w:rsid w:val="00CC2957"/>
    <w:rsid w:val="00CC5A77"/>
    <w:rsid w:val="00CC68B4"/>
    <w:rsid w:val="00CD084F"/>
    <w:rsid w:val="00CD6972"/>
    <w:rsid w:val="00CF4062"/>
    <w:rsid w:val="00CF7E27"/>
    <w:rsid w:val="00D03973"/>
    <w:rsid w:val="00D04A3E"/>
    <w:rsid w:val="00D06CBD"/>
    <w:rsid w:val="00D21A2A"/>
    <w:rsid w:val="00D23FAE"/>
    <w:rsid w:val="00D342FA"/>
    <w:rsid w:val="00D3787F"/>
    <w:rsid w:val="00D41188"/>
    <w:rsid w:val="00D51543"/>
    <w:rsid w:val="00D518E0"/>
    <w:rsid w:val="00D53427"/>
    <w:rsid w:val="00D53591"/>
    <w:rsid w:val="00D547CE"/>
    <w:rsid w:val="00D65241"/>
    <w:rsid w:val="00D729C6"/>
    <w:rsid w:val="00D74BEC"/>
    <w:rsid w:val="00D75623"/>
    <w:rsid w:val="00D75B4B"/>
    <w:rsid w:val="00D8631E"/>
    <w:rsid w:val="00D93609"/>
    <w:rsid w:val="00DA0397"/>
    <w:rsid w:val="00DA4E0E"/>
    <w:rsid w:val="00DB0E02"/>
    <w:rsid w:val="00DC2C75"/>
    <w:rsid w:val="00DC4677"/>
    <w:rsid w:val="00DC7AFB"/>
    <w:rsid w:val="00DD4882"/>
    <w:rsid w:val="00DD53CA"/>
    <w:rsid w:val="00DD6483"/>
    <w:rsid w:val="00DD6964"/>
    <w:rsid w:val="00DE0D60"/>
    <w:rsid w:val="00DE6409"/>
    <w:rsid w:val="00E024F3"/>
    <w:rsid w:val="00E02AAA"/>
    <w:rsid w:val="00E11A30"/>
    <w:rsid w:val="00E132B7"/>
    <w:rsid w:val="00E21D1D"/>
    <w:rsid w:val="00E22770"/>
    <w:rsid w:val="00E23292"/>
    <w:rsid w:val="00E260E7"/>
    <w:rsid w:val="00E4469C"/>
    <w:rsid w:val="00E47CD4"/>
    <w:rsid w:val="00E522E4"/>
    <w:rsid w:val="00E5264E"/>
    <w:rsid w:val="00E67F3F"/>
    <w:rsid w:val="00E737F9"/>
    <w:rsid w:val="00E8208D"/>
    <w:rsid w:val="00E8372B"/>
    <w:rsid w:val="00E916BA"/>
    <w:rsid w:val="00EA2DAC"/>
    <w:rsid w:val="00EB0336"/>
    <w:rsid w:val="00EB5C77"/>
    <w:rsid w:val="00EC14BC"/>
    <w:rsid w:val="00EC3260"/>
    <w:rsid w:val="00EC5D4D"/>
    <w:rsid w:val="00EC6722"/>
    <w:rsid w:val="00EF34D1"/>
    <w:rsid w:val="00EF44F7"/>
    <w:rsid w:val="00F01743"/>
    <w:rsid w:val="00F133DC"/>
    <w:rsid w:val="00F13E25"/>
    <w:rsid w:val="00F21393"/>
    <w:rsid w:val="00F24747"/>
    <w:rsid w:val="00F26FA9"/>
    <w:rsid w:val="00F324C4"/>
    <w:rsid w:val="00F364D5"/>
    <w:rsid w:val="00F4342C"/>
    <w:rsid w:val="00F54FFC"/>
    <w:rsid w:val="00F5573F"/>
    <w:rsid w:val="00F60ABE"/>
    <w:rsid w:val="00F66DC3"/>
    <w:rsid w:val="00F722F6"/>
    <w:rsid w:val="00F741CB"/>
    <w:rsid w:val="00F8465B"/>
    <w:rsid w:val="00F86DBE"/>
    <w:rsid w:val="00FA2F6E"/>
    <w:rsid w:val="00FA4148"/>
    <w:rsid w:val="00FA6DD0"/>
    <w:rsid w:val="00FA7B59"/>
    <w:rsid w:val="00FB5650"/>
    <w:rsid w:val="00FB7CD6"/>
    <w:rsid w:val="00FC4E44"/>
    <w:rsid w:val="00FD0882"/>
    <w:rsid w:val="00FD1694"/>
    <w:rsid w:val="00FD2BDC"/>
    <w:rsid w:val="00FF3A6E"/>
    <w:rsid w:val="00FF5825"/>
    <w:rsid w:val="00FF7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CD6BB0D"/>
  <w14:defaultImageDpi w14:val="0"/>
  <w15:docId w15:val="{67801EC6-B5EC-42AD-A02B-E010D1255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Wingdings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Times New Roman"/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pPr>
      <w:tabs>
        <w:tab w:val="center" w:pos="4252"/>
      </w:tabs>
      <w:ind w:left="142" w:right="168"/>
      <w:jc w:val="center"/>
    </w:pPr>
    <w:rPr>
      <w:lang w:val="es-ES" w:eastAsia="es-ES"/>
    </w:rPr>
  </w:style>
  <w:style w:type="paragraph" w:styleId="Piedepgina">
    <w:name w:val="footer"/>
    <w:basedOn w:val="Normal"/>
    <w:link w:val="PiedepginaCar"/>
    <w:pPr>
      <w:tabs>
        <w:tab w:val="center" w:pos="4252"/>
        <w:tab w:val="right" w:pos="8504"/>
      </w:tabs>
    </w:pPr>
    <w:rPr>
      <w:lang w:val="es-ES" w:eastAsia="es-ES"/>
    </w:rPr>
  </w:style>
  <w:style w:type="character" w:styleId="Hipervnculo">
    <w:name w:val="Hyperlink"/>
    <w:rPr>
      <w:rFonts w:ascii="Times New Roman" w:eastAsia="Times New Roman" w:hAnsi="Times New Roman" w:cs="Times New Roman"/>
      <w:color w:val="0000FF"/>
      <w:u w:val="single"/>
      <w:lang w:val="es-ES" w:eastAsia="es-ES" w:bidi="ar-SA"/>
    </w:rPr>
  </w:style>
  <w:style w:type="character" w:styleId="Nmerodepgina">
    <w:name w:val="page number"/>
    <w:rPr>
      <w:rFonts w:ascii="Times New Roman" w:eastAsia="Times New Roman" w:hAnsi="Times New Roman" w:cs="Times New Roman"/>
      <w:lang w:val="es-ES" w:eastAsia="es-ES" w:bidi="ar-SA"/>
    </w:rPr>
  </w:style>
  <w:style w:type="character" w:styleId="Textoennegrita">
    <w:name w:val="Strong"/>
    <w:qFormat/>
    <w:rPr>
      <w:rFonts w:ascii="Times New Roman" w:eastAsia="Times New Roman" w:hAnsi="Times New Roman" w:cs="Times New Roman"/>
      <w:b/>
      <w:bCs/>
      <w:lang w:val="es-ES" w:eastAsia="es-ES" w:bidi="ar-SA"/>
    </w:rPr>
  </w:style>
  <w:style w:type="paragraph" w:styleId="Cita">
    <w:name w:val="Quote"/>
    <w:basedOn w:val="Normal"/>
    <w:next w:val="Normal"/>
    <w:link w:val="CitaCar"/>
    <w:qFormat/>
    <w:pPr>
      <w:spacing w:after="200" w:line="276" w:lineRule="auto"/>
    </w:pPr>
    <w:rPr>
      <w:i/>
      <w:iCs/>
      <w:color w:val="000000"/>
      <w:lang w:val="es-ES" w:eastAsia="es-ES"/>
    </w:rPr>
  </w:style>
  <w:style w:type="character" w:customStyle="1" w:styleId="CitaCar">
    <w:name w:val="Cita Car"/>
    <w:link w:val="Cita"/>
    <w:rPr>
      <w:rFonts w:ascii="Times New Roman" w:eastAsia="Times New Roman" w:hAnsi="Times New Roman" w:cs="Times New Roman"/>
      <w:i/>
      <w:iCs/>
      <w:color w:val="000000"/>
      <w:sz w:val="24"/>
      <w:szCs w:val="24"/>
      <w:lang w:val="es-ES_tradnl" w:eastAsia="es-ES_tradnl" w:bidi="ar-SA"/>
    </w:rPr>
  </w:style>
  <w:style w:type="paragraph" w:styleId="Prrafodelista">
    <w:name w:val="List Paragraph"/>
    <w:basedOn w:val="Normal"/>
    <w:uiPriority w:val="34"/>
    <w:qFormat/>
    <w:pPr>
      <w:spacing w:after="200" w:line="276" w:lineRule="auto"/>
      <w:ind w:left="720"/>
      <w:contextualSpacing/>
    </w:pPr>
    <w:rPr>
      <w:rFonts w:ascii="Univers" w:eastAsia="Calibri" w:hAnsi="Univers"/>
      <w:szCs w:val="22"/>
      <w:lang w:val="es-ES" w:eastAsia="en-US"/>
    </w:rPr>
  </w:style>
  <w:style w:type="character" w:styleId="nfasis">
    <w:name w:val="Emphasis"/>
    <w:qFormat/>
    <w:rPr>
      <w:rFonts w:ascii="Times New Roman" w:eastAsia="Times New Roman" w:hAnsi="Times New Roman" w:cs="Times New Roman"/>
      <w:b/>
      <w:bCs/>
      <w:i w:val="0"/>
      <w:iCs w:val="0"/>
      <w:lang w:val="es-ES" w:eastAsia="es-ES" w:bidi="ar-SA"/>
    </w:rPr>
  </w:style>
  <w:style w:type="character" w:styleId="Refdecomentario">
    <w:name w:val="annotation reference"/>
    <w:rPr>
      <w:rFonts w:ascii="Times New Roman" w:eastAsia="Times New Roman" w:hAnsi="Times New Roman" w:cs="Times New Roman"/>
      <w:sz w:val="16"/>
      <w:szCs w:val="16"/>
      <w:lang w:val="es-ES" w:eastAsia="es-ES" w:bidi="ar-SA"/>
    </w:rPr>
  </w:style>
  <w:style w:type="paragraph" w:styleId="Textocomentario">
    <w:name w:val="annotation text"/>
    <w:basedOn w:val="Normal"/>
    <w:link w:val="TextocomentarioCar"/>
    <w:pPr>
      <w:spacing w:after="200"/>
    </w:pPr>
    <w:rPr>
      <w:rFonts w:ascii="Calibri" w:eastAsia="Calibri" w:hAnsi="Calibri"/>
      <w:sz w:val="20"/>
      <w:szCs w:val="20"/>
      <w:lang w:val="es-ES" w:eastAsia="es-ES"/>
    </w:rPr>
  </w:style>
  <w:style w:type="character" w:customStyle="1" w:styleId="TextocomentarioCar">
    <w:name w:val="Texto comentario Car"/>
    <w:link w:val="Textocomentario"/>
    <w:rPr>
      <w:rFonts w:ascii="Calibri" w:eastAsia="Calibri" w:hAnsi="Calibri" w:cs="Times New Roman"/>
      <w:lang w:val="es-ES" w:eastAsia="es-ES" w:bidi="ar-SA"/>
    </w:rPr>
  </w:style>
  <w:style w:type="paragraph" w:styleId="Textonotaalfinal">
    <w:name w:val="endnote text"/>
    <w:basedOn w:val="Normal"/>
    <w:link w:val="TextonotaalfinalCar"/>
    <w:rPr>
      <w:rFonts w:ascii="Calibri" w:eastAsia="Calibri" w:hAnsi="Calibri"/>
      <w:sz w:val="20"/>
      <w:szCs w:val="20"/>
      <w:lang w:val="es-ES" w:eastAsia="es-ES"/>
    </w:rPr>
  </w:style>
  <w:style w:type="character" w:customStyle="1" w:styleId="TextonotaalfinalCar">
    <w:name w:val="Texto nota al final Car"/>
    <w:link w:val="Textonotaalfinal"/>
    <w:rPr>
      <w:rFonts w:ascii="Calibri" w:eastAsia="Calibri" w:hAnsi="Calibri" w:cs="Times New Roman"/>
      <w:lang w:val="es-ES" w:eastAsia="es-ES" w:bidi="ar-SA"/>
    </w:rPr>
  </w:style>
  <w:style w:type="character" w:styleId="Refdenotaalfinal">
    <w:name w:val="endnote reference"/>
    <w:rPr>
      <w:rFonts w:ascii="Times New Roman" w:eastAsia="Times New Roman" w:hAnsi="Times New Roman" w:cs="Times New Roman"/>
      <w:vertAlign w:val="superscript"/>
      <w:lang w:val="es-ES" w:eastAsia="es-ES" w:bidi="ar-SA"/>
    </w:rPr>
  </w:style>
  <w:style w:type="paragraph" w:styleId="Textodeglobo">
    <w:name w:val="Balloon Text"/>
    <w:basedOn w:val="Normal"/>
    <w:link w:val="TextodegloboCar"/>
    <w:rPr>
      <w:rFonts w:ascii="Tahoma" w:hAnsi="Tahoma"/>
      <w:sz w:val="16"/>
      <w:szCs w:val="16"/>
      <w:lang w:val="es-ES" w:eastAsia="es-ES"/>
    </w:rPr>
  </w:style>
  <w:style w:type="character" w:customStyle="1" w:styleId="TextodegloboCar">
    <w:name w:val="Texto de globo Car"/>
    <w:link w:val="Textodeglobo"/>
    <w:rPr>
      <w:rFonts w:ascii="Tahoma" w:eastAsia="Times New Roman" w:hAnsi="Tahoma" w:cs="Tahoma"/>
      <w:sz w:val="16"/>
      <w:szCs w:val="16"/>
      <w:lang w:val="es-ES_tradnl" w:eastAsia="es-ES_tradnl" w:bidi="ar-SA"/>
    </w:rPr>
  </w:style>
  <w:style w:type="character" w:customStyle="1" w:styleId="EncabezadoCar">
    <w:name w:val="Encabezado Car"/>
    <w:link w:val="Encabezado"/>
    <w:rPr>
      <w:rFonts w:ascii="Times New Roman" w:eastAsia="Times New Roman" w:hAnsi="Times New Roman" w:cs="Times New Roman"/>
      <w:sz w:val="24"/>
      <w:szCs w:val="24"/>
      <w:lang w:val="es-ES_tradnl" w:eastAsia="es-ES_tradnl" w:bidi="ar-SA"/>
    </w:rPr>
  </w:style>
  <w:style w:type="character" w:customStyle="1" w:styleId="PiedepginaCar">
    <w:name w:val="Pie de página Car"/>
    <w:link w:val="Piedepgina"/>
    <w:rPr>
      <w:rFonts w:ascii="Times New Roman" w:eastAsia="Times New Roman" w:hAnsi="Times New Roman" w:cs="Times New Roman"/>
      <w:sz w:val="24"/>
      <w:szCs w:val="24"/>
      <w:lang w:val="es-ES_tradnl" w:eastAsia="es-ES_tradnl" w:bidi="ar-SA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lang w:val="es-ES" w:eastAsia="es-ES"/>
    </w:rPr>
  </w:style>
  <w:style w:type="paragraph" w:styleId="Textosinformato">
    <w:name w:val="Plain Text"/>
    <w:basedOn w:val="Normal"/>
    <w:link w:val="TextosinformatoCar"/>
    <w:uiPriority w:val="99"/>
    <w:unhideWhenUsed/>
    <w:rsid w:val="00D65241"/>
    <w:rPr>
      <w:rFonts w:ascii="Consolas" w:eastAsia="Calibri" w:hAnsi="Consolas"/>
      <w:sz w:val="21"/>
      <w:szCs w:val="21"/>
      <w:lang w:val="es-ES" w:eastAsia="en-US"/>
    </w:rPr>
  </w:style>
  <w:style w:type="character" w:customStyle="1" w:styleId="TextosinformatoCar">
    <w:name w:val="Texto sin formato Car"/>
    <w:link w:val="Textosinformato"/>
    <w:uiPriority w:val="99"/>
    <w:rsid w:val="00D65241"/>
    <w:rPr>
      <w:rFonts w:ascii="Consolas" w:eastAsia="Calibri" w:hAnsi="Consolas" w:cs="Times New Roman"/>
      <w:sz w:val="21"/>
      <w:szCs w:val="21"/>
      <w:lang w:val="es-ES" w:eastAsia="en-US" w:bidi="ar-SA"/>
    </w:rPr>
  </w:style>
  <w:style w:type="table" w:styleId="Tablaconcuadrcula">
    <w:name w:val="Table Grid"/>
    <w:basedOn w:val="Tablanormal"/>
    <w:uiPriority w:val="59"/>
    <w:rsid w:val="00F722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372C6"/>
    <w:pPr>
      <w:spacing w:after="0"/>
    </w:pPr>
    <w:rPr>
      <w:rFonts w:ascii="Times New Roman" w:eastAsia="Times New Roman" w:hAnsi="Times New Roman"/>
      <w:b/>
      <w:bCs/>
      <w:lang w:val="es-ES_tradnl" w:eastAsia="es-ES_tradnl"/>
    </w:rPr>
  </w:style>
  <w:style w:type="character" w:customStyle="1" w:styleId="AsuntodelcomentarioCar">
    <w:name w:val="Asunto del comentario Car"/>
    <w:link w:val="Asuntodelcomentario"/>
    <w:uiPriority w:val="99"/>
    <w:semiHidden/>
    <w:rsid w:val="008372C6"/>
    <w:rPr>
      <w:rFonts w:ascii="Calibri" w:eastAsia="Calibri" w:hAnsi="Calibri" w:cs="Times New Roman"/>
      <w:b/>
      <w:bCs/>
      <w:lang w:val="es-ES_tradnl" w:eastAsia="es-ES_tradn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76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1086</Words>
  <Characters>5974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SALA 4</dc:creator>
  <cp:lastModifiedBy>CuentaFSC04</cp:lastModifiedBy>
  <cp:revision>2</cp:revision>
  <cp:lastPrinted>2024-11-22T08:07:00Z</cp:lastPrinted>
  <dcterms:created xsi:type="dcterms:W3CDTF">2024-11-27T12:45:00Z</dcterms:created>
  <dcterms:modified xsi:type="dcterms:W3CDTF">2024-11-27T12:45:00Z</dcterms:modified>
  <cp:category>Nota de prensa</cp:category>
  <cp:version>16.0000</cp:version>
</cp:coreProperties>
</file>